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ngsana New" w:cs="Angsana New" w:eastAsia="Angsana New" w:hAnsi="Angsana New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ngsana New" w:cs="Angsana New" w:eastAsia="Angsana New" w:hAnsi="Angsana New"/>
          <w:b w:val="1"/>
          <w:sz w:val="40"/>
          <w:szCs w:val="40"/>
        </w:rPr>
      </w:pPr>
      <w:r w:rsidDel="00000000" w:rsidR="00000000" w:rsidRPr="00000000">
        <w:rPr>
          <w:rFonts w:ascii="Angsana New" w:cs="Angsana New" w:eastAsia="Angsana New" w:hAnsi="Angsana New"/>
          <w:b w:val="1"/>
          <w:sz w:val="40"/>
          <w:szCs w:val="40"/>
          <w:rtl w:val="0"/>
        </w:rPr>
        <w:t xml:space="preserve">6 Building blocks ของ Service plan สาขา Palliative care ปีงบประมาณ 2564</w:t>
      </w:r>
    </w:p>
    <w:tbl>
      <w:tblPr>
        <w:tblStyle w:val="Table1"/>
        <w:tblW w:w="16692.999999999996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6" w:val="single"/>
          <w:insideV w:color="ffffff" w:space="0" w:sz="6" w:val="single"/>
        </w:tblBorders>
        <w:tblLayout w:type="fixed"/>
        <w:tblLook w:val="04A0"/>
      </w:tblPr>
      <w:tblGrid>
        <w:gridCol w:w="2127"/>
        <w:gridCol w:w="1908"/>
        <w:gridCol w:w="1909"/>
        <w:gridCol w:w="1909"/>
        <w:gridCol w:w="1909"/>
        <w:gridCol w:w="2310"/>
        <w:gridCol w:w="2310"/>
        <w:gridCol w:w="2311"/>
        <w:tblGridChange w:id="0">
          <w:tblGrid>
            <w:gridCol w:w="2127"/>
            <w:gridCol w:w="1908"/>
            <w:gridCol w:w="1909"/>
            <w:gridCol w:w="1909"/>
            <w:gridCol w:w="1909"/>
            <w:gridCol w:w="2310"/>
            <w:gridCol w:w="2310"/>
            <w:gridCol w:w="231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Gap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แผนพัฒนาปี 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เป้าหมาย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ระยะเวลา 3 ปี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Service Delivery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-OPDครึ่งวัน/สัปดาห์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-IPD ทุกวัน 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-Consult ทุกวัน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-OPDครึ่งวัน/สัปดาห์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-IPD ทุกวัน 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-Consult ทุกวัน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-OPDครึ่งวัน/สัปดาห์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-IPD ทุกวัน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-Consult ทุกวัน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-รับยาจาก รพ.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แม่ข่าย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-ลงเยี่ยมทุกรายในพื้นที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-ผู้ป่วยยังเข้าถึงบริการได้น้อย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-เก็บ KPI เรื่อง ACP โดยลงรหัส z71.8 น้อย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 -แพทย์แผนไทย/แพทย์ทางเลือก ยังไม่ได้เข้ามามีส่วนร่วม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1.พัฒนาระบบบริการให้มีช่องทางเข้าถึงได้ง่าย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2.เก็บ KPI เรื่อง ACP 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3.ปรึกษาแพทย์แผนไทย/แพทย์ ทางเลือก 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4.จัดตั้ง OPD ทุก รพ.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5. จัดตั้ง PC ward ที่ รพท.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1.มีclinic PC100% 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2.ผู้ป่วยระยะท้าย* ได้รับopioid &gt;60% 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3.ทำ FM+ACP &gt; 60%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4.ได้รับการดูแลต่อเนื่องที่บ้าน &gt;60% 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5.แพทย์แผนไทย/ทางเลือกมีส่วนร่วม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Health Workforce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-แพทย์ผ่านการอบรม PC 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-PCN full time 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-เภสัชกรผ่านการอบรมให้ คำปรึกษาเรื่องยา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-แพทย์/พยาบาลผ่านการอบรม PC 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-เภสัชกรผ่านการอบรมให้คำปรึกษาเรื่องยา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-แพทย์/พยาบาลผ่านการอบรม PC ระยะสั้น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-เภสัชกรผ่านการอบรมให้คำปรึกษาเรื่องยา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-แพทย์ประจำ PCC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-พยาบาลอบรมระยะสั้น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-แพทย์/พยาบาลยังไม่เพียงพอ 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-ยังไม่มี PCN แบบ Full time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1.กำหนดเกณฑ์แพทย์/พยาบาล PC 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2.จัดกิจกรรมฟื้นฟูความรู้ ให้กับ PCWN/ พยาบาล รพสต. 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3.จัดเวทีแลกเปลี่ยนเรียนรู้ภายในจังหวัด(Palliative Care Day 2021)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1.เพิ่มแพทย์ที่ผ่านการอบรม PC 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2.เพิ่มจำนวนพยาบาลที่ผ่านการ อบรมเฉพาะทาง 4 เดือน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3.พยาบาล รพช. ผ่าน อบรมระยะสั้น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4.พัฒนาความรู้ PCWN / พยาบาล รพสต.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Information (IT)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EMR/Thai COC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-เริ่มมีการใช้ EMR ในการส่งต่อข้อมูลมากขึ้น แต่ยังมีการตอบกลับน้อย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พัฒนาโปรแกรม EMR ให้มีความเสถียรมากขึ้น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มีการส่งต่อข้อมูลผ่านระบบ EMR 100%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Medical Products &amp; Technology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-Strong opioids ทุกขนาด* 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-Syringe driver 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-O2 generator 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-ที่นอนลม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-Strong opioids ทุกขนาด* 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-Syringe driver 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-O2 generator 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-ที่นอนลม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-Strong opioids ตามมาตรฐานขั้นต่ำ 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-O2 generator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-ที่นอนลม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-O2 generator/tank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-ที่นอนลม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อุปกรณ์ทางการแพทย์ยังไม่เพียงพอกับความต้องการ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กำหนดเกณฑ์จำนวนเครื่องมือ และยา Opioid ขั้นต่ำแต่ละระดับ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1.มียา opioid ครบถ้วน*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2.มีศูนย์จัดเก็บเครื่องมือแบบ One Stop Service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Financing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-งบประมาณจากส่วนต่างๆ</w:t>
            </w:r>
          </w:p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-เงินบริจาค</w:t>
            </w:r>
          </w:p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-ผลงาน (สปสช.)</w:t>
            </w:r>
          </w:p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-หางบประมาณ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ขาดงบประมาณในการจัดกิจกรรมและจัดซื้ออุปกรณ์ทางการแพทย์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ลงระบบ E - claim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Leadership &amp; Governance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2"/>
                <w:szCs w:val="32"/>
                <w:rtl w:val="0"/>
              </w:rPr>
              <w:t xml:space="preserve">จัดทำระบบบริการ หรือ Function การทำงาน ที่แสดงถึงการเชื่อมโยงการดูแลต่อเนื่องจากโรงพยาบาลสู่บ้านและชุมชน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ติดตามโดยทีมจังหวัด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กำหนดระบบและเกณฑ์นิเทศงาน Palliative care ให้เป็นรูปแบบเดียวกันทั้งจังหวัด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6"/>
                <w:szCs w:val="36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6"/>
                <w:szCs w:val="36"/>
                <w:rtl w:val="0"/>
              </w:rPr>
              <w:t xml:space="preserve">Participation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-พัฒนาเครือข่ายรพสต./ชุมชน/ Care Giver ติดตามดูแลที่บ้าน</w:t>
            </w:r>
          </w:p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-โรงพยาบาลมีแผนงานร่วมกับ อปท.และเครือข่าย</w:t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ยังไม่ได้ทำโครงการ PC ร่วมกับ อปท.และเครือข่าย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จัดโครงการ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1.มีติดตามดูแลที่บ้านจนถึงวาระสุดท้ายของผู้ป่วย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2"/>
                <w:szCs w:val="32"/>
                <w:rtl w:val="0"/>
              </w:rPr>
              <w:t xml:space="preserve">2.Living will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TH SarabunPSK" w:cs="TH SarabunPSK" w:eastAsia="TH SarabunPSK" w:hAnsi="TH SarabunPSK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70" w:top="170" w:left="170" w:right="17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gsana New"/>
  <w:font w:name="TH SarabunPS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F05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B14572"/>
    <w:pPr>
      <w:ind w:left="720"/>
      <w:contextualSpacing w:val="1"/>
    </w:pPr>
  </w:style>
  <w:style w:type="table" w:styleId="-1">
    <w:name w:val="Colorful Grid Accent 1"/>
    <w:basedOn w:val="a1"/>
    <w:uiPriority w:val="73"/>
    <w:rsid w:val="00E908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</w:rPr>
      <w:tblPr/>
      <w:tcPr>
        <w:shd w:color="auto" w:fill="b8cce4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8cce4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3-5">
    <w:name w:val="Medium Grid 3 Accent 5"/>
    <w:basedOn w:val="a1"/>
    <w:uiPriority w:val="69"/>
    <w:rsid w:val="00E90884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  <w:tblStylePr w:type="band1Horz"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fill="a5d5e2" w:val="clear"/>
      </w:tcPr>
    </w:tblStylePr>
    <w:tblStylePr w:type="band1Vert"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000000" w:space="0" w:sz="0" w:val="nil"/>
          <w:insideV w:color="000000" w:space="0" w:sz="0" w:val="nil"/>
        </w:tcBorders>
        <w:shd w:fill="a5d5e2" w:val="clear"/>
      </w:tcPr>
    </w:tblStylePr>
    <w:tblStylePr w:type="firstCol">
      <w:rPr>
        <w:b w:val="1"/>
        <w:i w:val="0"/>
        <w:color w:val="ffffff"/>
      </w:rPr>
      <w:tcPr>
        <w:tcBorders>
          <w:left w:color="ffffff" w:space="0" w:sz="8" w:val="single"/>
          <w:right w:color="ffffff" w:space="0" w:sz="24" w:val="single"/>
          <w:insideH w:color="000000" w:space="0" w:sz="0" w:val="nil"/>
          <w:insideV w:color="000000" w:space="0" w:sz="0" w:val="nil"/>
        </w:tcBorders>
        <w:shd w:fill="4bacc6" w:val="clear"/>
      </w:tcPr>
    </w:tblStylePr>
    <w:tblStylePr w:type="firstRow">
      <w:rPr>
        <w:b w:val="1"/>
        <w:i w:val="0"/>
        <w:color w:val="ffffff"/>
      </w:rPr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color="000000" w:space="0" w:sz="0" w:val="nil"/>
          <w:insideV w:color="ffffff" w:space="0" w:sz="8" w:val="single"/>
        </w:tcBorders>
        <w:shd w:fill="4bacc6" w:val="clear"/>
      </w:tcPr>
    </w:tblStylePr>
    <w:tblStylePr w:type="lastCol">
      <w:rPr>
        <w:b w:val="1"/>
        <w:i w:val="0"/>
        <w:color w:val="ffffff"/>
      </w:rPr>
      <w:tcPr>
        <w:tcBorders>
          <w:top w:color="000000" w:space="0" w:sz="0" w:val="nil"/>
          <w:left w:color="ffffff" w:space="0" w:sz="2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bacc6" w:val="clear"/>
      </w:tcPr>
    </w:tblStylePr>
    <w:tblStylePr w:type="lastRow">
      <w:rPr>
        <w:b w:val="1"/>
        <w:i w:val="0"/>
        <w:color w:val="ffffff"/>
      </w:rPr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color="000000" w:space="0" w:sz="0" w:val="nil"/>
          <w:insideV w:color="ffffff" w:space="0" w:sz="8" w:val="single"/>
        </w:tcBorders>
        <w:shd w:fill="4bacc6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